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140D" w14:textId="77777777" w:rsidR="00E10AF2" w:rsidRPr="005150F7" w:rsidRDefault="00E10AF2" w:rsidP="00E10AF2">
      <w:pPr>
        <w:jc w:val="center"/>
        <w:rPr>
          <w:rFonts w:ascii="Century Gothic" w:hAnsi="Century Gothic"/>
          <w:color w:val="808080" w:themeColor="background1" w:themeShade="80"/>
          <w:sz w:val="48"/>
          <w:szCs w:val="48"/>
        </w:rPr>
      </w:pPr>
      <w:bookmarkStart w:id="0" w:name="_GoBack"/>
      <w:bookmarkEnd w:id="0"/>
      <w:r w:rsidRPr="005150F7">
        <w:rPr>
          <w:rFonts w:ascii="Century Gothic" w:hAnsi="Century Gothic"/>
          <w:color w:val="808080" w:themeColor="background1" w:themeShade="80"/>
          <w:sz w:val="48"/>
          <w:szCs w:val="48"/>
        </w:rPr>
        <w:t>Bringing IT ALL TOGETHER in Raleigh, NC for the A/E/C Industry on December 5</w:t>
      </w:r>
      <w:r w:rsidRPr="005150F7">
        <w:rPr>
          <w:rFonts w:ascii="Century Gothic" w:hAnsi="Century Gothic"/>
          <w:color w:val="808080" w:themeColor="background1" w:themeShade="80"/>
          <w:sz w:val="48"/>
          <w:szCs w:val="48"/>
          <w:vertAlign w:val="superscript"/>
        </w:rPr>
        <w:t xml:space="preserve">th </w:t>
      </w:r>
      <w:r w:rsidRPr="005150F7">
        <w:rPr>
          <w:rFonts w:ascii="Century Gothic" w:hAnsi="Century Gothic"/>
          <w:color w:val="808080" w:themeColor="background1" w:themeShade="80"/>
          <w:sz w:val="48"/>
          <w:szCs w:val="48"/>
        </w:rPr>
        <w:t xml:space="preserve"> </w:t>
      </w:r>
    </w:p>
    <w:p w14:paraId="69BC0A31" w14:textId="77777777" w:rsidR="00E10AF2" w:rsidRPr="00E10AF2" w:rsidRDefault="00E10AF2" w:rsidP="00E10AF2">
      <w:pPr>
        <w:spacing w:after="150" w:line="240" w:lineRule="auto"/>
        <w:rPr>
          <w:rFonts w:ascii="Asap" w:eastAsia="Times New Roman" w:hAnsi="Asap" w:cs="Times New Roman"/>
          <w:color w:val="333333"/>
          <w:sz w:val="20"/>
          <w:szCs w:val="20"/>
        </w:rPr>
      </w:pPr>
      <w:r w:rsidRPr="00E10AF2">
        <w:rPr>
          <w:rFonts w:ascii="Century Gothic" w:eastAsia="Times New Roman" w:hAnsi="Century Gothic" w:cs="Times New Roman"/>
          <w:color w:val="333333"/>
          <w:sz w:val="20"/>
          <w:szCs w:val="20"/>
        </w:rPr>
        <w:t xml:space="preserve">GreenNC is a one-day event, hosted by the </w:t>
      </w:r>
      <w:r w:rsidRPr="00E10AF2">
        <w:rPr>
          <w:rFonts w:ascii="Century Gothic" w:eastAsia="Times New Roman" w:hAnsi="Century Gothic" w:cs="Times New Roman"/>
          <w:b/>
          <w:color w:val="333333"/>
          <w:sz w:val="20"/>
          <w:szCs w:val="20"/>
        </w:rPr>
        <w:t>USGBC North Carolina Chapter</w:t>
      </w:r>
      <w:r w:rsidRPr="00E10AF2">
        <w:rPr>
          <w:rFonts w:ascii="Century Gothic" w:eastAsia="Times New Roman" w:hAnsi="Century Gothic" w:cs="Times New Roman"/>
          <w:color w:val="333333"/>
          <w:sz w:val="20"/>
          <w:szCs w:val="20"/>
        </w:rPr>
        <w:t xml:space="preserve">, to provide education, information and networking to North Carolina and neighboring citizens interested in green building and sustainability. By bringing architects, engineers, contractors and consultants together with </w:t>
      </w:r>
      <w:proofErr w:type="gramStart"/>
      <w:r w:rsidRPr="00E10AF2">
        <w:rPr>
          <w:rFonts w:ascii="Century Gothic" w:eastAsia="Times New Roman" w:hAnsi="Century Gothic" w:cs="Times New Roman"/>
          <w:color w:val="333333"/>
          <w:sz w:val="20"/>
          <w:szCs w:val="20"/>
        </w:rPr>
        <w:t>owners</w:t>
      </w:r>
      <w:proofErr w:type="gramEnd"/>
      <w:r w:rsidRPr="00E10AF2">
        <w:rPr>
          <w:rFonts w:ascii="Century Gothic" w:eastAsia="Times New Roman" w:hAnsi="Century Gothic" w:cs="Times New Roman"/>
          <w:color w:val="333333"/>
          <w:sz w:val="20"/>
          <w:szCs w:val="20"/>
        </w:rPr>
        <w:t xml:space="preserve"> occupants and educators, the richness of the conversations and presentations have been notably valuable to attendees over the last seven years. </w:t>
      </w:r>
    </w:p>
    <w:p w14:paraId="6DDFE0F9" w14:textId="141530D0" w:rsidR="00E10AF2" w:rsidRPr="00E10AF2" w:rsidRDefault="00E10AF2" w:rsidP="00E10AF2">
      <w:pPr>
        <w:jc w:val="center"/>
        <w:rPr>
          <w:rFonts w:ascii="Century Gothic" w:hAnsi="Century Gothic"/>
          <w:sz w:val="48"/>
          <w:szCs w:val="48"/>
        </w:rPr>
      </w:pPr>
      <w:r w:rsidRPr="00E10AF2">
        <w:rPr>
          <w:rFonts w:ascii="Century Gothic" w:eastAsia="Times New Roman" w:hAnsi="Century Gothic" w:cs="Times New Roman"/>
          <w:color w:val="333333"/>
          <w:sz w:val="20"/>
          <w:szCs w:val="20"/>
        </w:rPr>
        <w:t>Located at the LEED Silver Raleigh Convention Center, our event will focus on green building leadership in publicly funded agencies, specifically the two sectors of local governments and education. Come learn, network and re-charge with 150+ like-minded professionals.</w:t>
      </w:r>
      <w:r w:rsidR="00C24B4C">
        <w:rPr>
          <w:rFonts w:ascii="Century Gothic" w:eastAsia="Times New Roman" w:hAnsi="Century Gothic" w:cs="Times New Roman"/>
          <w:color w:val="333333"/>
          <w:sz w:val="20"/>
          <w:szCs w:val="20"/>
        </w:rPr>
        <w:br/>
      </w:r>
      <w:r w:rsidRPr="00E10AF2">
        <w:rPr>
          <w:rFonts w:ascii="Century Gothic" w:eastAsia="Times New Roman" w:hAnsi="Century Gothic" w:cs="Times New Roman"/>
          <w:color w:val="333333"/>
          <w:sz w:val="20"/>
          <w:szCs w:val="20"/>
        </w:rPr>
        <w:t xml:space="preserve"> Event tickets st</w:t>
      </w:r>
      <w:r w:rsidR="00E5649B">
        <w:rPr>
          <w:rFonts w:ascii="Century Gothic" w:eastAsia="Times New Roman" w:hAnsi="Century Gothic" w:cs="Times New Roman"/>
          <w:color w:val="333333"/>
          <w:sz w:val="20"/>
          <w:szCs w:val="20"/>
        </w:rPr>
        <w:t>art at $90.00</w:t>
      </w:r>
      <w:r w:rsidR="00C24B4C">
        <w:rPr>
          <w:rFonts w:ascii="Century Gothic" w:eastAsia="Times New Roman" w:hAnsi="Century Gothic" w:cs="Times New Roman"/>
          <w:color w:val="333333"/>
          <w:sz w:val="20"/>
          <w:szCs w:val="20"/>
        </w:rPr>
        <w:t>.</w:t>
      </w:r>
    </w:p>
    <w:p w14:paraId="40C6B53B" w14:textId="62FB111E" w:rsidR="00CB4BA8" w:rsidRDefault="00B67E39">
      <w:r>
        <w:rPr>
          <w:noProof/>
        </w:rPr>
        <w:drawing>
          <wp:anchor distT="0" distB="0" distL="114300" distR="114300" simplePos="0" relativeHeight="251664384" behindDoc="0" locked="0" layoutInCell="1" allowOverlap="1" wp14:anchorId="58040CE5" wp14:editId="3E8DE14E">
            <wp:simplePos x="0" y="0"/>
            <wp:positionH relativeFrom="column">
              <wp:posOffset>676894</wp:posOffset>
            </wp:positionH>
            <wp:positionV relativeFrom="paragraph">
              <wp:posOffset>222951</wp:posOffset>
            </wp:positionV>
            <wp:extent cx="5414010" cy="5414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NC2.gif"/>
                    <pic:cNvPicPr/>
                  </pic:nvPicPr>
                  <pic:blipFill>
                    <a:blip r:embed="rId6">
                      <a:extLst>
                        <a:ext uri="{28A0092B-C50C-407E-A947-70E740481C1C}">
                          <a14:useLocalDpi xmlns:a14="http://schemas.microsoft.com/office/drawing/2010/main" val="0"/>
                        </a:ext>
                      </a:extLst>
                    </a:blip>
                    <a:stretch>
                      <a:fillRect/>
                    </a:stretch>
                  </pic:blipFill>
                  <pic:spPr>
                    <a:xfrm>
                      <a:off x="0" y="0"/>
                      <a:ext cx="5414010" cy="5414010"/>
                    </a:xfrm>
                    <a:prstGeom prst="rect">
                      <a:avLst/>
                    </a:prstGeom>
                  </pic:spPr>
                </pic:pic>
              </a:graphicData>
            </a:graphic>
            <wp14:sizeRelH relativeFrom="margin">
              <wp14:pctWidth>0</wp14:pctWidth>
            </wp14:sizeRelH>
            <wp14:sizeRelV relativeFrom="margin">
              <wp14:pctHeight>0</wp14:pctHeight>
            </wp14:sizeRelV>
          </wp:anchor>
        </w:drawing>
      </w:r>
      <w:r w:rsidR="00E10AF2">
        <w:rPr>
          <w:noProof/>
        </w:rPr>
        <w:drawing>
          <wp:anchor distT="0" distB="0" distL="114300" distR="114300" simplePos="0" relativeHeight="251660288" behindDoc="0" locked="0" layoutInCell="1" allowOverlap="1" wp14:anchorId="7E4226B0" wp14:editId="34AD8917">
            <wp:simplePos x="0" y="0"/>
            <wp:positionH relativeFrom="margin">
              <wp:posOffset>-464024</wp:posOffset>
            </wp:positionH>
            <wp:positionV relativeFrom="paragraph">
              <wp:posOffset>4936746</wp:posOffset>
            </wp:positionV>
            <wp:extent cx="1172845" cy="11728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17990461.png"/>
                    <pic:cNvPicPr/>
                  </pic:nvPicPr>
                  <pic:blipFill>
                    <a:blip r:embed="rId7">
                      <a:extLst>
                        <a:ext uri="{28A0092B-C50C-407E-A947-70E740481C1C}">
                          <a14:useLocalDpi xmlns:a14="http://schemas.microsoft.com/office/drawing/2010/main" val="0"/>
                        </a:ext>
                      </a:extLst>
                    </a:blip>
                    <a:stretch>
                      <a:fillRect/>
                    </a:stretch>
                  </pic:blipFill>
                  <pic:spPr>
                    <a:xfrm>
                      <a:off x="0" y="0"/>
                      <a:ext cx="1172845" cy="1172845"/>
                    </a:xfrm>
                    <a:prstGeom prst="rect">
                      <a:avLst/>
                    </a:prstGeom>
                  </pic:spPr>
                </pic:pic>
              </a:graphicData>
            </a:graphic>
          </wp:anchor>
        </w:drawing>
      </w:r>
    </w:p>
    <w:p w14:paraId="22236D2E" w14:textId="77777777" w:rsidR="00E10AF2" w:rsidRDefault="00E10AF2"/>
    <w:p w14:paraId="442041E5" w14:textId="7ECC8330" w:rsidR="00E10AF2" w:rsidRPr="00E10AF2" w:rsidRDefault="00345BF0">
      <w:pPr>
        <w:rPr>
          <w:b/>
        </w:rPr>
      </w:pPr>
      <w:r w:rsidRPr="00345BF0">
        <w:rPr>
          <w:b/>
          <w:noProof/>
        </w:rPr>
        <mc:AlternateContent>
          <mc:Choice Requires="wps">
            <w:drawing>
              <wp:anchor distT="45720" distB="45720" distL="114300" distR="114300" simplePos="0" relativeHeight="251663360" behindDoc="0" locked="0" layoutInCell="1" allowOverlap="1" wp14:anchorId="06D1D3F5" wp14:editId="0C567E45">
                <wp:simplePos x="0" y="0"/>
                <wp:positionH relativeFrom="column">
                  <wp:posOffset>-391226</wp:posOffset>
                </wp:positionH>
                <wp:positionV relativeFrom="paragraph">
                  <wp:posOffset>4199255</wp:posOffset>
                </wp:positionV>
                <wp:extent cx="12344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04620"/>
                        </a:xfrm>
                        <a:prstGeom prst="rect">
                          <a:avLst/>
                        </a:prstGeom>
                        <a:noFill/>
                        <a:ln w="9525">
                          <a:noFill/>
                          <a:miter lim="800000"/>
                          <a:headEnd/>
                          <a:tailEnd/>
                        </a:ln>
                      </wps:spPr>
                      <wps:txbx>
                        <w:txbxContent>
                          <w:p w14:paraId="285277D9" w14:textId="0D3CD3A0" w:rsidR="00345BF0" w:rsidRPr="00345BF0" w:rsidRDefault="00345BF0">
                            <w:pPr>
                              <w:rPr>
                                <w:b/>
                              </w:rPr>
                            </w:pPr>
                            <w:r w:rsidRPr="00345BF0">
                              <w:rPr>
                                <w:b/>
                              </w:rPr>
                              <w:t>Register 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D1D3F5" id="_x0000_t202" coordsize="21600,21600" o:spt="202" path="m,l,21600r21600,l21600,xe">
                <v:stroke joinstyle="miter"/>
                <v:path gradientshapeok="t" o:connecttype="rect"/>
              </v:shapetype>
              <v:shape id="Text Box 2" o:spid="_x0000_s1026" type="#_x0000_t202" style="position:absolute;margin-left:-30.8pt;margin-top:330.65pt;width:97.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" filled="f" stroked="f">
                <v:textbox style="mso-fit-shape-to-text:t">
                  <w:txbxContent>
                    <w:p w14:paraId="285277D9" w14:textId="0D3CD3A0" w:rsidR="00345BF0" w:rsidRPr="00345BF0" w:rsidRDefault="00345BF0">
                      <w:pPr>
                        <w:rPr>
                          <w:b/>
                        </w:rPr>
                      </w:pPr>
                      <w:r w:rsidRPr="00345BF0">
                        <w:rPr>
                          <w:b/>
                        </w:rPr>
                        <w:t>Register Now</w:t>
                      </w:r>
                    </w:p>
                  </w:txbxContent>
                </v:textbox>
                <w10:wrap type="square"/>
              </v:shape>
            </w:pict>
          </mc:Fallback>
        </mc:AlternateContent>
      </w:r>
      <w:r w:rsidR="00E10AF2" w:rsidRPr="00E10AF2">
        <w:rPr>
          <w:b/>
        </w:rPr>
        <w:br/>
      </w:r>
    </w:p>
    <w:sectPr w:rsidR="00E10AF2" w:rsidRPr="00E10AF2" w:rsidSect="00E10AF2">
      <w:headerReference w:type="default" r:id="rId8"/>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EC136" w14:textId="77777777" w:rsidR="00053A24" w:rsidRDefault="00053A24" w:rsidP="00E10AF2">
      <w:pPr>
        <w:spacing w:after="0" w:line="240" w:lineRule="auto"/>
      </w:pPr>
      <w:r>
        <w:separator/>
      </w:r>
    </w:p>
  </w:endnote>
  <w:endnote w:type="continuationSeparator" w:id="0">
    <w:p w14:paraId="2C292ED4" w14:textId="77777777" w:rsidR="00053A24" w:rsidRDefault="00053A24" w:rsidP="00E10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sap">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A07D4" w14:textId="77777777" w:rsidR="00053A24" w:rsidRDefault="00053A24" w:rsidP="00E10AF2">
      <w:pPr>
        <w:spacing w:after="0" w:line="240" w:lineRule="auto"/>
      </w:pPr>
      <w:r>
        <w:separator/>
      </w:r>
    </w:p>
  </w:footnote>
  <w:footnote w:type="continuationSeparator" w:id="0">
    <w:p w14:paraId="56DAB4C6" w14:textId="77777777" w:rsidR="00053A24" w:rsidRDefault="00053A24" w:rsidP="00E10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A3DC1" w14:textId="77777777" w:rsidR="00E10AF2" w:rsidRPr="00E10AF2" w:rsidRDefault="00E10AF2" w:rsidP="00E10AF2">
    <w:pPr>
      <w:pStyle w:val="Header"/>
      <w:jc w:val="center"/>
      <w:rPr>
        <w:u w:val="single"/>
      </w:rPr>
    </w:pPr>
    <w:r>
      <w:t xml:space="preserve">Register today at </w:t>
    </w:r>
    <w:r>
      <w:br/>
    </w:r>
    <w:r w:rsidRPr="00E10AF2">
      <w:rPr>
        <w:u w:val="single"/>
      </w:rPr>
      <w:t>www.usgbcnc.org/greenNC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AF2"/>
    <w:rsid w:val="00053A24"/>
    <w:rsid w:val="00345BF0"/>
    <w:rsid w:val="003E54A7"/>
    <w:rsid w:val="00401297"/>
    <w:rsid w:val="005150F7"/>
    <w:rsid w:val="00A26401"/>
    <w:rsid w:val="00A359E7"/>
    <w:rsid w:val="00B67E39"/>
    <w:rsid w:val="00C2250B"/>
    <w:rsid w:val="00C24B4C"/>
    <w:rsid w:val="00CB4BA8"/>
    <w:rsid w:val="00DE3F4F"/>
    <w:rsid w:val="00E10AF2"/>
    <w:rsid w:val="00E5649B"/>
    <w:rsid w:val="00F64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8A288"/>
  <w15:docId w15:val="{C71A5EC1-25EF-4A27-B433-87F6377B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AF2"/>
  </w:style>
  <w:style w:type="paragraph" w:styleId="Footer">
    <w:name w:val="footer"/>
    <w:basedOn w:val="Normal"/>
    <w:link w:val="FooterChar"/>
    <w:uiPriority w:val="99"/>
    <w:unhideWhenUsed/>
    <w:rsid w:val="00E10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124</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Doherty</dc:creator>
  <cp:lastModifiedBy>fred4197</cp:lastModifiedBy>
  <cp:revision>2</cp:revision>
  <cp:lastPrinted>2013-11-04T20:30:00Z</cp:lastPrinted>
  <dcterms:created xsi:type="dcterms:W3CDTF">2013-11-22T22:37:00Z</dcterms:created>
  <dcterms:modified xsi:type="dcterms:W3CDTF">2013-11-22T22:37:00Z</dcterms:modified>
</cp:coreProperties>
</file>